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passo carrabile permanente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per l'autorizzazione passo carrabile permanente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Regolamento comunale per l'applicazione della COSAP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337F69" w:rsidRDefault="009C1829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9C1829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337F69" w:rsidRDefault="009C1829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C182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37F69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61B21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C1829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2026-06-14T19:59:00Z</dcterms:modified>
</cp:coreProperties>
</file>